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9B" w:rsidRPr="00D3169B" w:rsidRDefault="00D3169B" w:rsidP="00D31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169B">
        <w:rPr>
          <w:rFonts w:ascii="Times New Roman" w:eastAsia="Calibri" w:hAnsi="Times New Roman" w:cs="Times New Roman"/>
          <w:b/>
          <w:sz w:val="24"/>
          <w:szCs w:val="24"/>
        </w:rPr>
        <w:t>ИП «САТУЕВА САЦИТА АДНАНОВНА»</w:t>
      </w:r>
    </w:p>
    <w:p w:rsidR="00D3169B" w:rsidRPr="00D3169B" w:rsidRDefault="00D3169B" w:rsidP="00D316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169B" w:rsidRPr="00D3169B" w:rsidRDefault="00D3169B" w:rsidP="00D316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169B" w:rsidRPr="00D3169B" w:rsidRDefault="00D3169B" w:rsidP="00D31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12679871"/>
      <w:bookmarkStart w:id="1" w:name="_Toc128470917"/>
      <w:r w:rsidRPr="00D3169B">
        <w:rPr>
          <w:rFonts w:ascii="Times New Roman" w:eastAsia="Calibri" w:hAnsi="Times New Roman" w:cs="Times New Roman"/>
          <w:b/>
          <w:sz w:val="24"/>
          <w:szCs w:val="24"/>
        </w:rPr>
        <w:t>КАЛЕНДАРНЫЙ УЧЕБНЫЙ ГРАФИК</w:t>
      </w:r>
      <w:bookmarkEnd w:id="0"/>
      <w:bookmarkEnd w:id="1"/>
    </w:p>
    <w:p w:rsidR="00D3169B" w:rsidRPr="00D3169B" w:rsidRDefault="00712159" w:rsidP="00D31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2025-2026</w:t>
      </w:r>
      <w:bookmarkStart w:id="2" w:name="_GoBack"/>
      <w:bookmarkEnd w:id="2"/>
      <w:r w:rsidR="00D3169B" w:rsidRPr="00D3169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Календарный учебный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даты начала и окончания учебного года;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продолжительность учебного года;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сроки и продолжительность каникул;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сроки проведения промежуточной аттестации.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Календарный учебный график реализации образовательной программы составлен в соответствии с частью 1 статьи 34 Федерального закона от 29.12.2012 № 273-ФЗ «Об образовании в Российской Федерации»;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- ФГОС НОО (п. 19.10.1), утвержденным приказом </w:t>
      </w:r>
      <w:proofErr w:type="spellStart"/>
      <w:r w:rsidRPr="00D3169B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 от 31.05.2021 № 286;</w:t>
      </w:r>
    </w:p>
    <w:p w:rsidR="00D3169B" w:rsidRPr="00D3169B" w:rsidRDefault="00D3169B" w:rsidP="00D3169B">
      <w:pPr>
        <w:spacing w:before="240"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- Федеральной образовательной программой начального общего образования, утвержденной приказом Министерства просвещения от 18.05. 2023 №372.</w:t>
      </w: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Каникулы (дней)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Осенние каникулы 10 дней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31.12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Зимние каникулы 11 дней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Доп. каникулы 10 дней для 1 </w:t>
            </w:r>
            <w:proofErr w:type="spellStart"/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5" w:type="dxa"/>
            <w:vMerge/>
            <w:shd w:val="clear" w:color="auto" w:fill="DBE5F1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каникулы 9 дней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3169B" w:rsidRPr="00D3169B" w:rsidTr="00D70A3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75" w:type="dxa"/>
            <w:shd w:val="clear" w:color="auto" w:fill="DBE5F1"/>
            <w:noWrap/>
            <w:vAlign w:val="bottom"/>
            <w:hideMark/>
          </w:tcPr>
          <w:p w:rsidR="00D3169B" w:rsidRPr="00D3169B" w:rsidRDefault="00D3169B" w:rsidP="00D3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Летние каникулы с 27 мая по 31 августа.</w:t>
            </w:r>
          </w:p>
        </w:tc>
      </w:tr>
    </w:tbl>
    <w:p w:rsidR="00D3169B" w:rsidRPr="00D3169B" w:rsidRDefault="00D3169B" w:rsidP="00D316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Условные обозначения: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409"/>
        <w:gridCol w:w="8405"/>
      </w:tblGrid>
      <w:tr w:rsidR="00D3169B" w:rsidRPr="00D3169B" w:rsidTr="00D70A30">
        <w:trPr>
          <w:trHeight w:val="315"/>
        </w:trPr>
        <w:tc>
          <w:tcPr>
            <w:tcW w:w="1418" w:type="dxa"/>
            <w:shd w:val="clear" w:color="auto" w:fill="DBE5F1"/>
          </w:tcPr>
          <w:p w:rsidR="00D3169B" w:rsidRPr="00D3169B" w:rsidRDefault="00D3169B" w:rsidP="00D3169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5" w:type="dxa"/>
          </w:tcPr>
          <w:p w:rsidR="00D3169B" w:rsidRPr="00D3169B" w:rsidRDefault="00D3169B" w:rsidP="00D3169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  <w:tr w:rsidR="00D3169B" w:rsidRPr="00D3169B" w:rsidTr="00D70A30">
        <w:trPr>
          <w:trHeight w:val="181"/>
        </w:trPr>
        <w:tc>
          <w:tcPr>
            <w:tcW w:w="1418" w:type="dxa"/>
          </w:tcPr>
          <w:p w:rsidR="00D3169B" w:rsidRPr="00D3169B" w:rsidRDefault="00D3169B" w:rsidP="00D3169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24.    02</w:t>
            </w:r>
          </w:p>
        </w:tc>
        <w:tc>
          <w:tcPr>
            <w:tcW w:w="8505" w:type="dxa"/>
          </w:tcPr>
          <w:p w:rsidR="00D3169B" w:rsidRPr="00D3169B" w:rsidRDefault="00D3169B" w:rsidP="00D3169B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69B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дни</w:t>
            </w:r>
          </w:p>
        </w:tc>
      </w:tr>
    </w:tbl>
    <w:p w:rsidR="00D3169B" w:rsidRPr="00D3169B" w:rsidRDefault="00D3169B" w:rsidP="00D3169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Начало учебного года -  2 сентября 2024 года.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Окончание учебного года – 26 мая 2025 года.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учебного года: для 1 класса – 33 недели; 2-4 классов – 34 недели. 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учебных четвертей:    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I четверть: 2.09.2024г. - 25.10.2024г. (8 учебных недель для 1–4 классов); 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II четверть: 5.11.2024 - 28.12.2024 г. (8 учебных недель для 1–4 классов); 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III четверть: 9.01.2025г. - 28.03.2025г. (11 учебных недель для 2–4 классов, 10 учебных недель для 1 классов); 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IV четверть – 7.04.2025 - 26.05.2025г. (7 учебных недель (для 1–4 классов).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Каникулы: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- 26.10.2024 - 4.11.2024г. - по окончании I четверти (осенние каникулы) – 10 календарных дней (для 1 - 4 классов);  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- 29.12.2024г. - 8.01.2025г. - по окончании II четверти (зимние каникулы) – 11 календарных дней (для 1 - 4 классов);  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- 15.02.2025г.- 24.02.2025г. - дополнительные каникулы – 9 календарных дней (для 1 классов);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 xml:space="preserve">- 29.03.2025г. - 6.04.2025г. - по окончании III четверти (весенние каникулы) – 9 календарных дней (для 1 - 4 классов);  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- 27.05.2025г. - 31.08.2025г. по окончании учебного года (летние каникулы).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Сроки проведения ВПР в 4 классах: 11 апреля – 16 мая 2025 г.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28 декабря, 27 марта, 28 марта учебные занятия проводятся по расписанию понедельника.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26 мая учебные занятия проводятся по расписанию пятницы.</w:t>
      </w:r>
    </w:p>
    <w:p w:rsidR="00D3169B" w:rsidRPr="00D3169B" w:rsidRDefault="00D3169B" w:rsidP="00D316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169B">
        <w:rPr>
          <w:rFonts w:ascii="Times New Roman" w:eastAsia="Calibri" w:hAnsi="Times New Roman" w:cs="Times New Roman"/>
          <w:sz w:val="24"/>
          <w:szCs w:val="24"/>
        </w:rPr>
        <w:t>По темам, выпадающим по расписанию на 16 апреля (среда), 1 мая (четверг), 2 мая (пятница), в целях реализации учебного плана ООП НОО в полном объеме рекомендуется использовать резервные часы программы, объединение смежных тем.</w:t>
      </w:r>
    </w:p>
    <w:p w:rsidR="00D3169B" w:rsidRPr="00D3169B" w:rsidRDefault="00D3169B" w:rsidP="00D3169B">
      <w:pPr>
        <w:spacing w:after="200" w:line="276" w:lineRule="auto"/>
        <w:rPr>
          <w:rFonts w:ascii="Calibri" w:eastAsia="Calibri" w:hAnsi="Calibri" w:cs="Times New Roman"/>
        </w:rPr>
      </w:pPr>
    </w:p>
    <w:p w:rsidR="00D3169B" w:rsidRPr="00D3169B" w:rsidRDefault="00D3169B" w:rsidP="00D3169B">
      <w:pPr>
        <w:spacing w:after="200" w:line="276" w:lineRule="auto"/>
        <w:rPr>
          <w:rFonts w:ascii="Calibri" w:eastAsia="Calibri" w:hAnsi="Calibri" w:cs="Times New Roman"/>
        </w:rPr>
      </w:pPr>
    </w:p>
    <w:p w:rsidR="00213739" w:rsidRDefault="00213739"/>
    <w:sectPr w:rsidR="00213739" w:rsidSect="006C1C9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0C"/>
    <w:rsid w:val="00213739"/>
    <w:rsid w:val="00712159"/>
    <w:rsid w:val="008E590C"/>
    <w:rsid w:val="00D3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B6EE"/>
  <w15:chartTrackingRefBased/>
  <w15:docId w15:val="{01E9BBC2-AB42-4F24-B145-0B6BF871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2024-10-03T07:58:00Z</dcterms:created>
  <dcterms:modified xsi:type="dcterms:W3CDTF">2025-10-24T11:21:00Z</dcterms:modified>
</cp:coreProperties>
</file>